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E8" w:rsidRPr="00336F61" w:rsidRDefault="00C467E8" w:rsidP="00C467E8">
      <w:pPr>
        <w:rPr>
          <w:rFonts w:ascii="Times New Roman" w:hAnsi="Times New Roman" w:cs="Times New Roman"/>
          <w:sz w:val="24"/>
          <w:szCs w:val="24"/>
          <w:u w:val="single"/>
        </w:rPr>
      </w:pPr>
      <w:r w:rsidRPr="00336F61">
        <w:rPr>
          <w:rFonts w:ascii="Times New Roman" w:hAnsi="Times New Roman" w:cs="Times New Roman"/>
          <w:sz w:val="24"/>
          <w:szCs w:val="24"/>
          <w:u w:val="single"/>
        </w:rPr>
        <w:t>Allegato 2: Dalla geometria ai primi passi nell’algebra</w:t>
      </w:r>
    </w:p>
    <w:p w:rsidR="00C467E8" w:rsidRDefault="00C467E8" w:rsidP="00C467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Alla richiesta di confrontare i lati dei due triangoli iniziali, i bambini osservano facilmente che c’è un “lato lungo”, uno “medio” e uno “corto”. Questa semplice constatazione può rappresentare il primo passo verso una progressiva formalizzazione, grazie all’aiuto dei colori che contraddistinguono i lati. Gli alunni, anche i più piccoli, accettano (o propongono loro stessi) di rappresentare i lati con il rispettivo colore, utilizzando un pallino colorato o l’iniziale </w:t>
      </w:r>
      <w:r w:rsidRPr="0090100B">
        <w:rPr>
          <w:rFonts w:ascii="Times New Roman" w:hAnsi="Times New Roman" w:cs="Times New Roman"/>
          <w:sz w:val="24"/>
          <w:szCs w:val="24"/>
        </w:rPr>
        <w:t xml:space="preserve">del nome </w:t>
      </w:r>
      <w:r>
        <w:rPr>
          <w:rFonts w:ascii="Times New Roman" w:hAnsi="Times New Roman" w:cs="Times New Roman"/>
          <w:sz w:val="24"/>
          <w:szCs w:val="24"/>
        </w:rPr>
        <w:t>del colore (B, R, V) o anche gli aggettivi: corto,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368F1">
        <w:rPr>
          <w:rFonts w:ascii="Times New Roman" w:hAnsi="Times New Roman" w:cs="Times New Roman"/>
          <w:sz w:val="24"/>
          <w:szCs w:val="24"/>
        </w:rPr>
        <w:t>medio, lungo</w:t>
      </w:r>
      <w:r>
        <w:rPr>
          <w:rFonts w:ascii="Times New Roman" w:hAnsi="Times New Roman" w:cs="Times New Roman"/>
          <w:sz w:val="24"/>
          <w:szCs w:val="24"/>
        </w:rPr>
        <w:t xml:space="preserve"> (C, M, L). Le espressioni che rappresentano i perimetri dei quadrilateri diventano così:</w:t>
      </w:r>
    </w:p>
    <w:p w:rsidR="00C467E8" w:rsidRDefault="00C467E8" w:rsidP="00C467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2R + 2V per il triangolo isoscele ottusangolo e per uno dei parallelogrammi</w:t>
      </w:r>
    </w:p>
    <w:p w:rsidR="00C467E8" w:rsidRDefault="00865D89" w:rsidP="00C467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2V + 2</w:t>
      </w:r>
      <w:r w:rsidR="00C467E8">
        <w:rPr>
          <w:rFonts w:ascii="Times New Roman" w:hAnsi="Times New Roman" w:cs="Times New Roman"/>
          <w:sz w:val="24"/>
          <w:szCs w:val="24"/>
        </w:rPr>
        <w:t>B per il triangolo isoscele acutangolo</w:t>
      </w:r>
    </w:p>
    <w:p w:rsidR="00C467E8" w:rsidRDefault="00C467E8" w:rsidP="00C467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2R + 2B per deltoide e rettangolo</w:t>
      </w:r>
    </w:p>
    <w:p w:rsidR="00C467E8" w:rsidRDefault="00865D89" w:rsidP="00C467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2V + 2</w:t>
      </w:r>
      <w:r w:rsidR="00C467E8">
        <w:rPr>
          <w:rFonts w:ascii="Times New Roman" w:hAnsi="Times New Roman" w:cs="Times New Roman"/>
          <w:sz w:val="24"/>
          <w:szCs w:val="24"/>
        </w:rPr>
        <w:t>B per l’altro parallelogramma.</w:t>
      </w:r>
    </w:p>
    <w:p w:rsidR="00C467E8" w:rsidRPr="00922672" w:rsidRDefault="00C467E8" w:rsidP="00C467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facile a questo punto confrontare i relativi perimetri, grazie a questo primo approccio alla scrittura algebrica.</w:t>
      </w:r>
    </w:p>
    <w:p w:rsidR="008A7B15" w:rsidRDefault="008A7B15"/>
    <w:sectPr w:rsidR="008A7B15" w:rsidSect="008A7B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467E8"/>
    <w:rsid w:val="00865D89"/>
    <w:rsid w:val="008A7B15"/>
    <w:rsid w:val="00C467E8"/>
    <w:rsid w:val="00D5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67E8"/>
    <w:pPr>
      <w:spacing w:after="160" w:line="259" w:lineRule="auto"/>
    </w:pPr>
    <w:rPr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anonimo</dc:creator>
  <cp:lastModifiedBy>anonimo</cp:lastModifiedBy>
  <cp:revision>2</cp:revision>
  <dcterms:created xsi:type="dcterms:W3CDTF">2019-02-25T09:16:00Z</dcterms:created>
  <dcterms:modified xsi:type="dcterms:W3CDTF">2019-02-25T09:47:00Z</dcterms:modified>
</cp:coreProperties>
</file>